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B71" w:rsidRPr="00AB0DE2" w:rsidRDefault="007A4B71" w:rsidP="007A4B71">
      <w:pPr>
        <w:tabs>
          <w:tab w:val="right" w:pos="9360"/>
        </w:tabs>
        <w:rPr>
          <w:rFonts w:ascii="Albertus" w:hAnsi="Albertus"/>
          <w:b/>
          <w:sz w:val="28"/>
          <w:szCs w:val="28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0100" cy="796925"/>
            <wp:effectExtent l="19050" t="0" r="0" b="0"/>
            <wp:wrapTight wrapText="bothSides">
              <wp:wrapPolygon edited="0">
                <wp:start x="-514" y="0"/>
                <wp:lineTo x="-514" y="21170"/>
                <wp:lineTo x="21086" y="21170"/>
                <wp:lineTo x="21086" y="0"/>
                <wp:lineTo x="-514" y="0"/>
              </wp:wrapPolygon>
            </wp:wrapTight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 contrast="6000"/>
                    </a:blip>
                    <a:srcRect r="62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2746">
        <w:rPr>
          <w:b/>
          <w:sz w:val="40"/>
          <w:szCs w:val="40"/>
        </w:rPr>
        <w:t xml:space="preserve">Farmers </w:t>
      </w:r>
      <w:r>
        <w:rPr>
          <w:rFonts w:ascii="Albertus" w:hAnsi="Albertus"/>
          <w:sz w:val="28"/>
          <w:szCs w:val="28"/>
        </w:rPr>
        <w:tab/>
      </w:r>
      <w:r w:rsidRPr="00AB0DE2">
        <w:rPr>
          <w:b/>
        </w:rPr>
        <w:t>1102 Broadway</w:t>
      </w:r>
    </w:p>
    <w:p w:rsidR="007A4B71" w:rsidRPr="00AB0DE2" w:rsidRDefault="007A4B71" w:rsidP="007A4B71">
      <w:pPr>
        <w:tabs>
          <w:tab w:val="right" w:pos="9360"/>
        </w:tabs>
        <w:ind w:left="720"/>
        <w:rPr>
          <w:rFonts w:ascii="Albertus" w:hAnsi="Albertus"/>
          <w:sz w:val="28"/>
          <w:szCs w:val="28"/>
        </w:rPr>
      </w:pPr>
      <w:r w:rsidRPr="00422746">
        <w:rPr>
          <w:b/>
          <w:sz w:val="40"/>
          <w:szCs w:val="40"/>
        </w:rPr>
        <w:t>National</w:t>
      </w:r>
      <w:r w:rsidRPr="007D2670">
        <w:rPr>
          <w:b/>
          <w:sz w:val="36"/>
          <w:szCs w:val="36"/>
        </w:rPr>
        <w:t xml:space="preserve"> </w:t>
      </w:r>
      <w:r>
        <w:tab/>
      </w:r>
      <w:smartTag w:uri="urn:schemas-microsoft-com:office:smarttags" w:element="place">
        <w:smartTag w:uri="urn:schemas-microsoft-com:office:smarttags" w:element="City">
          <w:r w:rsidRPr="00AB0DE2">
            <w:rPr>
              <w:b/>
            </w:rPr>
            <w:t>Emmetsburg</w:t>
          </w:r>
        </w:smartTag>
        <w:r w:rsidRPr="00AB0DE2">
          <w:rPr>
            <w:b/>
          </w:rPr>
          <w:t xml:space="preserve"> </w:t>
        </w:r>
        <w:smartTag w:uri="urn:schemas-microsoft-com:office:smarttags" w:element="State">
          <w:r w:rsidRPr="00AB0DE2">
            <w:rPr>
              <w:b/>
            </w:rPr>
            <w:t>IA</w:t>
          </w:r>
        </w:smartTag>
        <w:r w:rsidRPr="00AB0DE2">
          <w:rPr>
            <w:b/>
          </w:rPr>
          <w:t xml:space="preserve">, </w:t>
        </w:r>
        <w:smartTag w:uri="urn:schemas-microsoft-com:office:smarttags" w:element="PostalCode">
          <w:r w:rsidRPr="00AB0DE2">
            <w:rPr>
              <w:b/>
            </w:rPr>
            <w:t>50536</w:t>
          </w:r>
        </w:smartTag>
      </w:smartTag>
    </w:p>
    <w:p w:rsidR="007A4B71" w:rsidRDefault="007A4B71" w:rsidP="007A4B71">
      <w:pPr>
        <w:tabs>
          <w:tab w:val="right" w:pos="9360"/>
        </w:tabs>
        <w:rPr>
          <w:b/>
        </w:rPr>
      </w:pPr>
      <w:r w:rsidRPr="00422746">
        <w:rPr>
          <w:b/>
          <w:sz w:val="40"/>
          <w:szCs w:val="40"/>
        </w:rPr>
        <w:t>Company</w:t>
      </w:r>
      <w:r>
        <w:rPr>
          <w:rFonts w:ascii="Albertus" w:hAnsi="Albertus"/>
          <w:sz w:val="28"/>
          <w:szCs w:val="28"/>
        </w:rPr>
        <w:tab/>
      </w:r>
      <w:r w:rsidRPr="00AB0DE2">
        <w:rPr>
          <w:b/>
        </w:rPr>
        <w:t>(712)852-2002</w:t>
      </w:r>
    </w:p>
    <w:p w:rsidR="007A4B71" w:rsidRDefault="007A4B71" w:rsidP="007A4B71">
      <w:pPr>
        <w:pBdr>
          <w:bottom w:val="single" w:sz="4" w:space="1" w:color="auto"/>
        </w:pBdr>
        <w:tabs>
          <w:tab w:val="right" w:pos="9360"/>
        </w:tabs>
        <w:rPr>
          <w:b/>
        </w:rPr>
      </w:pPr>
    </w:p>
    <w:p w:rsidR="007A4B71" w:rsidRDefault="007A4B71" w:rsidP="007A4B71">
      <w:pPr>
        <w:tabs>
          <w:tab w:val="right" w:pos="9360"/>
        </w:tabs>
        <w:rPr>
          <w:b/>
        </w:rPr>
      </w:pPr>
    </w:p>
    <w:tbl>
      <w:tblPr>
        <w:tblW w:w="0" w:type="auto"/>
        <w:tblInd w:w="108" w:type="dxa"/>
        <w:tblBorders>
          <w:top w:val="single" w:sz="18" w:space="0" w:color="008000"/>
          <w:left w:val="single" w:sz="18" w:space="0" w:color="008000"/>
          <w:bottom w:val="single" w:sz="18" w:space="0" w:color="008000"/>
          <w:right w:val="single" w:sz="18" w:space="0" w:color="008000"/>
          <w:insideH w:val="single" w:sz="18" w:space="0" w:color="008000"/>
          <w:insideV w:val="single" w:sz="18" w:space="0" w:color="008000"/>
        </w:tblBorders>
        <w:shd w:val="clear" w:color="auto" w:fill="C6D9F1" w:themeFill="text2" w:themeFillTint="33"/>
        <w:tblLook w:val="0000"/>
      </w:tblPr>
      <w:tblGrid>
        <w:gridCol w:w="11412"/>
      </w:tblGrid>
      <w:tr w:rsidR="007A4B71" w:rsidTr="00FE4798">
        <w:trPr>
          <w:trHeight w:val="1997"/>
        </w:trPr>
        <w:tc>
          <w:tcPr>
            <w:tcW w:w="11412" w:type="dxa"/>
            <w:shd w:val="clear" w:color="auto" w:fill="C6D9F1" w:themeFill="text2" w:themeFillTint="33"/>
          </w:tcPr>
          <w:p w:rsidR="007A4B71" w:rsidRPr="00FE4798" w:rsidRDefault="007A4B71" w:rsidP="007A4B71">
            <w:pPr>
              <w:tabs>
                <w:tab w:val="right" w:pos="9360"/>
              </w:tabs>
              <w:ind w:left="-36"/>
              <w:jc w:val="center"/>
              <w:rPr>
                <w:rFonts w:ascii="Tahoma" w:hAnsi="Tahoma" w:cs="Tahoma"/>
                <w:b/>
                <w:color w:val="17365D" w:themeColor="text2" w:themeShade="BF"/>
                <w:sz w:val="40"/>
                <w:szCs w:val="40"/>
              </w:rPr>
            </w:pPr>
            <w:r w:rsidRPr="00FE4798">
              <w:rPr>
                <w:rFonts w:ascii="Tahoma" w:hAnsi="Tahoma" w:cs="Tahoma"/>
                <w:b/>
                <w:color w:val="17365D" w:themeColor="text2" w:themeShade="BF"/>
                <w:sz w:val="40"/>
                <w:szCs w:val="40"/>
              </w:rPr>
              <w:t>FOR SALE</w:t>
            </w:r>
          </w:p>
          <w:p w:rsidR="007A4B71" w:rsidRDefault="00FE2F8E" w:rsidP="007A4B71">
            <w:pPr>
              <w:tabs>
                <w:tab w:val="right" w:pos="9360"/>
              </w:tabs>
              <w:ind w:left="-36"/>
              <w:jc w:val="center"/>
              <w:rPr>
                <w:rFonts w:ascii="Tahoma" w:hAnsi="Tahoma" w:cs="Tahoma"/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rFonts w:ascii="Tahoma" w:hAnsi="Tahoma" w:cs="Tahoma"/>
                <w:b/>
                <w:color w:val="17365D" w:themeColor="text2" w:themeShade="BF"/>
                <w:sz w:val="40"/>
                <w:szCs w:val="40"/>
              </w:rPr>
              <w:t>1901 19</w:t>
            </w:r>
            <w:r w:rsidRPr="00FE2F8E">
              <w:rPr>
                <w:rFonts w:ascii="Tahoma" w:hAnsi="Tahoma" w:cs="Tahoma"/>
                <w:b/>
                <w:color w:val="17365D" w:themeColor="text2" w:themeShade="BF"/>
                <w:sz w:val="40"/>
                <w:szCs w:val="40"/>
                <w:vertAlign w:val="superscript"/>
              </w:rPr>
              <w:t>th</w:t>
            </w:r>
            <w:r>
              <w:rPr>
                <w:rFonts w:ascii="Tahoma" w:hAnsi="Tahoma" w:cs="Tahoma"/>
                <w:b/>
                <w:color w:val="17365D" w:themeColor="text2" w:themeShade="BF"/>
                <w:sz w:val="40"/>
                <w:szCs w:val="40"/>
              </w:rPr>
              <w:t xml:space="preserve"> Street</w:t>
            </w:r>
          </w:p>
          <w:p w:rsidR="00D6697D" w:rsidRDefault="00FE2F8E" w:rsidP="00843A8A">
            <w:pPr>
              <w:tabs>
                <w:tab w:val="right" w:pos="9360"/>
              </w:tabs>
              <w:ind w:left="-36"/>
              <w:jc w:val="center"/>
              <w:rPr>
                <w:rFonts w:ascii="Tahoma" w:hAnsi="Tahoma" w:cs="Tahoma"/>
                <w:b/>
                <w:color w:val="17365D" w:themeColor="text2" w:themeShade="BF"/>
                <w:sz w:val="40"/>
                <w:szCs w:val="40"/>
              </w:rPr>
            </w:pPr>
            <w:r>
              <w:rPr>
                <w:rFonts w:ascii="Tahoma" w:hAnsi="Tahoma" w:cs="Tahoma"/>
                <w:b/>
                <w:color w:val="17365D" w:themeColor="text2" w:themeShade="BF"/>
                <w:sz w:val="40"/>
                <w:szCs w:val="40"/>
              </w:rPr>
              <w:t>Emmetsburg, Iowa 50536</w:t>
            </w:r>
          </w:p>
          <w:p w:rsidR="007A4B71" w:rsidRPr="007A4B71" w:rsidRDefault="007A4B71" w:rsidP="00843A8A">
            <w:pPr>
              <w:tabs>
                <w:tab w:val="right" w:pos="9360"/>
              </w:tabs>
              <w:ind w:left="-36"/>
              <w:jc w:val="center"/>
              <w:rPr>
                <w:rFonts w:ascii="Tahoma" w:hAnsi="Tahoma" w:cs="Tahoma"/>
                <w:b/>
                <w:sz w:val="36"/>
                <w:szCs w:val="36"/>
              </w:rPr>
            </w:pPr>
            <w:r w:rsidRPr="00FE4798">
              <w:rPr>
                <w:rFonts w:ascii="Tahoma" w:hAnsi="Tahoma" w:cs="Tahoma"/>
                <w:b/>
                <w:color w:val="17365D" w:themeColor="text2" w:themeShade="BF"/>
                <w:sz w:val="36"/>
                <w:szCs w:val="36"/>
              </w:rPr>
              <w:t>$</w:t>
            </w:r>
            <w:r w:rsidR="00FE2F8E">
              <w:rPr>
                <w:rFonts w:ascii="Tahoma" w:hAnsi="Tahoma" w:cs="Tahoma"/>
                <w:b/>
                <w:color w:val="17365D" w:themeColor="text2" w:themeShade="BF"/>
                <w:sz w:val="36"/>
                <w:szCs w:val="36"/>
              </w:rPr>
              <w:t>189,900.00</w:t>
            </w:r>
          </w:p>
        </w:tc>
      </w:tr>
    </w:tbl>
    <w:p w:rsidR="00D10686" w:rsidRPr="00D10686" w:rsidRDefault="00D10686" w:rsidP="00FE2F8E">
      <w:pPr>
        <w:tabs>
          <w:tab w:val="right" w:pos="9360"/>
        </w:tabs>
        <w:jc w:val="center"/>
        <w:rPr>
          <w:noProof/>
          <w:sz w:val="16"/>
          <w:szCs w:val="16"/>
        </w:rPr>
      </w:pPr>
    </w:p>
    <w:p w:rsidR="00D6697D" w:rsidRDefault="00FE2F8E" w:rsidP="00FE2F8E">
      <w:pPr>
        <w:tabs>
          <w:tab w:val="right" w:pos="9360"/>
        </w:tabs>
        <w:jc w:val="center"/>
        <w:rPr>
          <w:noProof/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3762375" cy="2821782"/>
            <wp:effectExtent l="19050" t="0" r="9525" b="0"/>
            <wp:docPr id="1" name="Picture 0" descr="1901 19th 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01 19th S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5455" cy="2824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0686" w:rsidRPr="00D10686" w:rsidRDefault="00D10686" w:rsidP="00FE2F8E">
      <w:pPr>
        <w:tabs>
          <w:tab w:val="right" w:pos="9360"/>
        </w:tabs>
        <w:jc w:val="center"/>
        <w:rPr>
          <w:noProof/>
          <w:sz w:val="16"/>
          <w:szCs w:val="16"/>
        </w:rPr>
      </w:pPr>
    </w:p>
    <w:tbl>
      <w:tblPr>
        <w:tblStyle w:val="TableGrid"/>
        <w:tblW w:w="0" w:type="auto"/>
        <w:tblInd w:w="108" w:type="dxa"/>
        <w:tblBorders>
          <w:top w:val="single" w:sz="18" w:space="0" w:color="008000"/>
          <w:left w:val="single" w:sz="18" w:space="0" w:color="008000"/>
          <w:bottom w:val="single" w:sz="18" w:space="0" w:color="008000"/>
          <w:right w:val="single" w:sz="18" w:space="0" w:color="008000"/>
          <w:insideH w:val="single" w:sz="18" w:space="0" w:color="008000"/>
          <w:insideV w:val="single" w:sz="18" w:space="0" w:color="008000"/>
        </w:tblBorders>
        <w:shd w:val="clear" w:color="auto" w:fill="C6D9F1" w:themeFill="text2" w:themeFillTint="33"/>
        <w:tblLook w:val="04A0"/>
      </w:tblPr>
      <w:tblGrid>
        <w:gridCol w:w="2610"/>
        <w:gridCol w:w="2880"/>
        <w:gridCol w:w="2610"/>
        <w:gridCol w:w="3330"/>
      </w:tblGrid>
      <w:tr w:rsidR="007A4B71" w:rsidTr="00FE4798">
        <w:tc>
          <w:tcPr>
            <w:tcW w:w="2610" w:type="dxa"/>
            <w:shd w:val="clear" w:color="auto" w:fill="C6D9F1" w:themeFill="text2" w:themeFillTint="33"/>
          </w:tcPr>
          <w:p w:rsidR="007A4B71" w:rsidRPr="00FE4798" w:rsidRDefault="007A4B71" w:rsidP="00FE4798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  <w:r w:rsidRPr="00FE4798">
              <w:rPr>
                <w:b/>
                <w:color w:val="17365D" w:themeColor="text2" w:themeShade="BF"/>
              </w:rPr>
              <w:t>Bedrooms</w:t>
            </w:r>
          </w:p>
          <w:p w:rsidR="007A4B71" w:rsidRPr="00FE4798" w:rsidRDefault="00D10686" w:rsidP="00FE4798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3</w:t>
            </w:r>
          </w:p>
        </w:tc>
        <w:tc>
          <w:tcPr>
            <w:tcW w:w="2880" w:type="dxa"/>
            <w:shd w:val="clear" w:color="auto" w:fill="C6D9F1" w:themeFill="text2" w:themeFillTint="33"/>
          </w:tcPr>
          <w:p w:rsidR="007A4B71" w:rsidRPr="00FE4798" w:rsidRDefault="003A3F5B" w:rsidP="00FE4798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  <w:r w:rsidRPr="00FE4798">
              <w:rPr>
                <w:b/>
                <w:color w:val="17365D" w:themeColor="text2" w:themeShade="BF"/>
              </w:rPr>
              <w:t>Square Footage</w:t>
            </w:r>
          </w:p>
          <w:p w:rsidR="00FE4798" w:rsidRPr="00FE4798" w:rsidRDefault="00FE2F8E" w:rsidP="00843A8A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1,344 sq ft</w:t>
            </w:r>
          </w:p>
        </w:tc>
        <w:tc>
          <w:tcPr>
            <w:tcW w:w="2610" w:type="dxa"/>
            <w:shd w:val="clear" w:color="auto" w:fill="C6D9F1" w:themeFill="text2" w:themeFillTint="33"/>
          </w:tcPr>
          <w:p w:rsidR="007A4B71" w:rsidRPr="00FE4798" w:rsidRDefault="003A3F5B" w:rsidP="00FE4798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  <w:r w:rsidRPr="00FE4798">
              <w:rPr>
                <w:b/>
                <w:color w:val="17365D" w:themeColor="text2" w:themeShade="BF"/>
              </w:rPr>
              <w:t>Garage Size</w:t>
            </w:r>
          </w:p>
          <w:p w:rsidR="00FE4798" w:rsidRPr="00FE4798" w:rsidRDefault="00D10686" w:rsidP="00D10686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672 </w:t>
            </w:r>
            <w:proofErr w:type="spellStart"/>
            <w:r>
              <w:rPr>
                <w:b/>
                <w:color w:val="17365D" w:themeColor="text2" w:themeShade="BF"/>
              </w:rPr>
              <w:t>sf</w:t>
            </w:r>
            <w:proofErr w:type="spellEnd"/>
            <w:r>
              <w:rPr>
                <w:b/>
                <w:color w:val="17365D" w:themeColor="text2" w:themeShade="BF"/>
              </w:rPr>
              <w:t xml:space="preserve"> / 24’ x 28’</w:t>
            </w:r>
          </w:p>
        </w:tc>
        <w:tc>
          <w:tcPr>
            <w:tcW w:w="3330" w:type="dxa"/>
            <w:vMerge w:val="restart"/>
            <w:shd w:val="clear" w:color="auto" w:fill="C6D9F1" w:themeFill="text2" w:themeFillTint="33"/>
          </w:tcPr>
          <w:p w:rsidR="007A4B71" w:rsidRDefault="007A4B71" w:rsidP="007A4B71">
            <w:pPr>
              <w:spacing w:after="200"/>
              <w:jc w:val="center"/>
              <w:rPr>
                <w:b/>
                <w:color w:val="17365D" w:themeColor="text2" w:themeShade="BF"/>
              </w:rPr>
            </w:pPr>
            <w:r w:rsidRPr="00FE4798">
              <w:rPr>
                <w:b/>
                <w:color w:val="17365D" w:themeColor="text2" w:themeShade="BF"/>
              </w:rPr>
              <w:t>Description</w:t>
            </w:r>
          </w:p>
          <w:p w:rsidR="003F7146" w:rsidRPr="00FE4798" w:rsidRDefault="00D10686" w:rsidP="007A4B71">
            <w:pPr>
              <w:spacing w:after="200"/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Come take a look at this completely renovated ranch home. All new kitchen cabinets and flooring throughout the home. Large basement family room with separate entrance from the garage. </w:t>
            </w:r>
            <w:r w:rsidR="002527A0">
              <w:rPr>
                <w:b/>
                <w:color w:val="17365D" w:themeColor="text2" w:themeShade="BF"/>
              </w:rPr>
              <w:t>New roof in summer of 2011, all new wiring for all electric utilities.</w:t>
            </w:r>
          </w:p>
        </w:tc>
      </w:tr>
      <w:tr w:rsidR="007A4B71" w:rsidTr="00FE4798">
        <w:tc>
          <w:tcPr>
            <w:tcW w:w="2610" w:type="dxa"/>
            <w:shd w:val="clear" w:color="auto" w:fill="C6D9F1" w:themeFill="text2" w:themeFillTint="33"/>
          </w:tcPr>
          <w:p w:rsidR="007A4B71" w:rsidRPr="00FE4798" w:rsidRDefault="007A4B71" w:rsidP="00FE4798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  <w:r w:rsidRPr="00FE4798">
              <w:rPr>
                <w:b/>
                <w:color w:val="17365D" w:themeColor="text2" w:themeShade="BF"/>
              </w:rPr>
              <w:t>Bathrooms</w:t>
            </w:r>
          </w:p>
          <w:p w:rsidR="007A4B71" w:rsidRPr="00FE4798" w:rsidRDefault="00D10686" w:rsidP="00FE4798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1 plus</w:t>
            </w:r>
          </w:p>
        </w:tc>
        <w:tc>
          <w:tcPr>
            <w:tcW w:w="2880" w:type="dxa"/>
            <w:shd w:val="clear" w:color="auto" w:fill="C6D9F1" w:themeFill="text2" w:themeFillTint="33"/>
          </w:tcPr>
          <w:p w:rsidR="00FE4798" w:rsidRDefault="00D6697D" w:rsidP="00FE4798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House size</w:t>
            </w:r>
          </w:p>
          <w:p w:rsidR="00FE2F8E" w:rsidRPr="00FE4798" w:rsidRDefault="00D10686" w:rsidP="00D10686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48’ x 88’</w:t>
            </w:r>
          </w:p>
        </w:tc>
        <w:tc>
          <w:tcPr>
            <w:tcW w:w="2610" w:type="dxa"/>
            <w:shd w:val="clear" w:color="auto" w:fill="C6D9F1" w:themeFill="text2" w:themeFillTint="33"/>
          </w:tcPr>
          <w:p w:rsidR="00D10686" w:rsidRDefault="00D10686" w:rsidP="00FE4798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 xml:space="preserve">Central </w:t>
            </w:r>
          </w:p>
          <w:p w:rsidR="00FE4798" w:rsidRPr="00FE4798" w:rsidRDefault="003A3F5B" w:rsidP="00D10686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  <w:r w:rsidRPr="00FE4798">
              <w:rPr>
                <w:b/>
                <w:color w:val="17365D" w:themeColor="text2" w:themeShade="BF"/>
              </w:rPr>
              <w:t>Air Conditioning</w:t>
            </w:r>
          </w:p>
        </w:tc>
        <w:tc>
          <w:tcPr>
            <w:tcW w:w="3330" w:type="dxa"/>
            <w:vMerge/>
            <w:shd w:val="clear" w:color="auto" w:fill="C6D9F1" w:themeFill="text2" w:themeFillTint="33"/>
          </w:tcPr>
          <w:p w:rsidR="007A4B71" w:rsidRDefault="007A4B71">
            <w:pPr>
              <w:spacing w:after="200"/>
              <w:rPr>
                <w:b/>
              </w:rPr>
            </w:pPr>
          </w:p>
        </w:tc>
      </w:tr>
      <w:tr w:rsidR="007A4B71" w:rsidTr="00FE4798">
        <w:tc>
          <w:tcPr>
            <w:tcW w:w="2610" w:type="dxa"/>
            <w:shd w:val="clear" w:color="auto" w:fill="C6D9F1" w:themeFill="text2" w:themeFillTint="33"/>
          </w:tcPr>
          <w:p w:rsidR="007A4B71" w:rsidRPr="00FE4798" w:rsidRDefault="003A3F5B" w:rsidP="00FE4798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  <w:r w:rsidRPr="00FE4798">
              <w:rPr>
                <w:b/>
                <w:color w:val="17365D" w:themeColor="text2" w:themeShade="BF"/>
              </w:rPr>
              <w:t>Year Built</w:t>
            </w:r>
          </w:p>
          <w:p w:rsidR="00FE4798" w:rsidRPr="00FE4798" w:rsidRDefault="00FE2F8E" w:rsidP="00843A8A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1975</w:t>
            </w:r>
          </w:p>
        </w:tc>
        <w:tc>
          <w:tcPr>
            <w:tcW w:w="2880" w:type="dxa"/>
            <w:shd w:val="clear" w:color="auto" w:fill="C6D9F1" w:themeFill="text2" w:themeFillTint="33"/>
          </w:tcPr>
          <w:p w:rsidR="007A4B71" w:rsidRPr="00FE4798" w:rsidRDefault="007A4B71" w:rsidP="00FE4798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  <w:r w:rsidRPr="00FE4798">
              <w:rPr>
                <w:b/>
                <w:color w:val="17365D" w:themeColor="text2" w:themeShade="BF"/>
              </w:rPr>
              <w:t>Lot Size</w:t>
            </w:r>
          </w:p>
          <w:p w:rsidR="007A4B71" w:rsidRPr="00FE4798" w:rsidRDefault="00FE2F8E" w:rsidP="00FE4798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132’ x 132’</w:t>
            </w:r>
          </w:p>
        </w:tc>
        <w:tc>
          <w:tcPr>
            <w:tcW w:w="2610" w:type="dxa"/>
            <w:shd w:val="clear" w:color="auto" w:fill="C6D9F1" w:themeFill="text2" w:themeFillTint="33"/>
          </w:tcPr>
          <w:p w:rsidR="00D10686" w:rsidRDefault="00D10686" w:rsidP="00D10686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Electric</w:t>
            </w:r>
          </w:p>
          <w:p w:rsidR="00FE4798" w:rsidRPr="00FE4798" w:rsidRDefault="007A4B71" w:rsidP="00D10686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  <w:r w:rsidRPr="00FE4798">
              <w:rPr>
                <w:b/>
                <w:color w:val="17365D" w:themeColor="text2" w:themeShade="BF"/>
              </w:rPr>
              <w:t>Heat</w:t>
            </w:r>
          </w:p>
        </w:tc>
        <w:tc>
          <w:tcPr>
            <w:tcW w:w="3330" w:type="dxa"/>
            <w:vMerge/>
            <w:shd w:val="clear" w:color="auto" w:fill="C6D9F1" w:themeFill="text2" w:themeFillTint="33"/>
          </w:tcPr>
          <w:p w:rsidR="007A4B71" w:rsidRDefault="007A4B71">
            <w:pPr>
              <w:spacing w:after="200"/>
              <w:rPr>
                <w:b/>
              </w:rPr>
            </w:pPr>
          </w:p>
        </w:tc>
      </w:tr>
      <w:tr w:rsidR="007A4B71" w:rsidTr="00FE4798">
        <w:tc>
          <w:tcPr>
            <w:tcW w:w="2610" w:type="dxa"/>
            <w:shd w:val="clear" w:color="auto" w:fill="C6D9F1" w:themeFill="text2" w:themeFillTint="33"/>
          </w:tcPr>
          <w:p w:rsidR="003A3F5B" w:rsidRPr="00FE4798" w:rsidRDefault="002527A0" w:rsidP="002527A0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Full Basement / Standard Finish</w:t>
            </w:r>
          </w:p>
        </w:tc>
        <w:tc>
          <w:tcPr>
            <w:tcW w:w="2880" w:type="dxa"/>
            <w:shd w:val="clear" w:color="auto" w:fill="C6D9F1" w:themeFill="text2" w:themeFillTint="33"/>
          </w:tcPr>
          <w:p w:rsidR="00FE4798" w:rsidRPr="00FE4798" w:rsidRDefault="00FE4798" w:rsidP="00FE4798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2610" w:type="dxa"/>
            <w:shd w:val="clear" w:color="auto" w:fill="C6D9F1" w:themeFill="text2" w:themeFillTint="33"/>
          </w:tcPr>
          <w:p w:rsidR="007A4B71" w:rsidRDefault="007A4B71" w:rsidP="00FE4798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</w:p>
          <w:p w:rsidR="00FE4798" w:rsidRPr="00FE4798" w:rsidRDefault="00FE4798" w:rsidP="00FE4798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3330" w:type="dxa"/>
            <w:vMerge/>
            <w:shd w:val="clear" w:color="auto" w:fill="C6D9F1" w:themeFill="text2" w:themeFillTint="33"/>
          </w:tcPr>
          <w:p w:rsidR="007A4B71" w:rsidRDefault="007A4B71">
            <w:pPr>
              <w:spacing w:after="200"/>
              <w:rPr>
                <w:b/>
              </w:rPr>
            </w:pPr>
          </w:p>
        </w:tc>
      </w:tr>
      <w:tr w:rsidR="007A4B71" w:rsidTr="00FE4798">
        <w:tc>
          <w:tcPr>
            <w:tcW w:w="2610" w:type="dxa"/>
            <w:shd w:val="clear" w:color="auto" w:fill="C6D9F1" w:themeFill="text2" w:themeFillTint="33"/>
          </w:tcPr>
          <w:p w:rsidR="002527A0" w:rsidRPr="00FE4798" w:rsidRDefault="002527A0" w:rsidP="002527A0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  <w:r w:rsidRPr="00FE4798">
              <w:rPr>
                <w:b/>
                <w:color w:val="17365D" w:themeColor="text2" w:themeShade="BF"/>
              </w:rPr>
              <w:t>Taxes</w:t>
            </w:r>
          </w:p>
          <w:p w:rsidR="003A3F5B" w:rsidRPr="00FE4798" w:rsidRDefault="002527A0" w:rsidP="002527A0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$1,386</w:t>
            </w:r>
          </w:p>
        </w:tc>
        <w:tc>
          <w:tcPr>
            <w:tcW w:w="2880" w:type="dxa"/>
            <w:shd w:val="clear" w:color="auto" w:fill="C6D9F1" w:themeFill="text2" w:themeFillTint="33"/>
          </w:tcPr>
          <w:p w:rsidR="007A4B71" w:rsidRDefault="007A4B71" w:rsidP="00FE4798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</w:p>
          <w:p w:rsidR="00FE4798" w:rsidRPr="00FE4798" w:rsidRDefault="00FE4798" w:rsidP="00FE4798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2610" w:type="dxa"/>
            <w:shd w:val="clear" w:color="auto" w:fill="C6D9F1" w:themeFill="text2" w:themeFillTint="33"/>
          </w:tcPr>
          <w:p w:rsidR="002527A0" w:rsidRPr="00FE4798" w:rsidRDefault="002527A0" w:rsidP="002527A0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  <w:r w:rsidRPr="00FE4798">
              <w:rPr>
                <w:b/>
                <w:color w:val="17365D" w:themeColor="text2" w:themeShade="BF"/>
              </w:rPr>
              <w:t>Average Electric</w:t>
            </w:r>
          </w:p>
          <w:p w:rsidR="00FE4798" w:rsidRPr="00FE4798" w:rsidRDefault="002527A0" w:rsidP="002527A0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$96.00</w:t>
            </w:r>
          </w:p>
        </w:tc>
        <w:tc>
          <w:tcPr>
            <w:tcW w:w="3330" w:type="dxa"/>
            <w:vMerge/>
            <w:shd w:val="clear" w:color="auto" w:fill="C6D9F1" w:themeFill="text2" w:themeFillTint="33"/>
          </w:tcPr>
          <w:p w:rsidR="007A4B71" w:rsidRDefault="007A4B71">
            <w:pPr>
              <w:spacing w:after="200"/>
              <w:rPr>
                <w:b/>
              </w:rPr>
            </w:pPr>
          </w:p>
        </w:tc>
      </w:tr>
      <w:tr w:rsidR="007A4B71" w:rsidTr="00FE4798">
        <w:tc>
          <w:tcPr>
            <w:tcW w:w="2610" w:type="dxa"/>
            <w:shd w:val="clear" w:color="auto" w:fill="C6D9F1" w:themeFill="text2" w:themeFillTint="33"/>
          </w:tcPr>
          <w:p w:rsidR="003A3F5B" w:rsidRPr="00FE4798" w:rsidRDefault="003A3F5B" w:rsidP="00FE4798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2880" w:type="dxa"/>
            <w:shd w:val="clear" w:color="auto" w:fill="C6D9F1" w:themeFill="text2" w:themeFillTint="33"/>
          </w:tcPr>
          <w:p w:rsidR="00FE4798" w:rsidRPr="00FE4798" w:rsidRDefault="00FE4798" w:rsidP="00FE4798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2610" w:type="dxa"/>
            <w:shd w:val="clear" w:color="auto" w:fill="C6D9F1" w:themeFill="text2" w:themeFillTint="33"/>
          </w:tcPr>
          <w:p w:rsidR="00FE4798" w:rsidRPr="00FE4798" w:rsidRDefault="00FE4798" w:rsidP="00FE4798">
            <w:pPr>
              <w:tabs>
                <w:tab w:val="right" w:pos="9360"/>
              </w:tabs>
              <w:jc w:val="center"/>
              <w:rPr>
                <w:b/>
                <w:color w:val="17365D" w:themeColor="text2" w:themeShade="BF"/>
              </w:rPr>
            </w:pPr>
          </w:p>
        </w:tc>
        <w:tc>
          <w:tcPr>
            <w:tcW w:w="3330" w:type="dxa"/>
            <w:vMerge/>
            <w:shd w:val="clear" w:color="auto" w:fill="C6D9F1" w:themeFill="text2" w:themeFillTint="33"/>
          </w:tcPr>
          <w:p w:rsidR="007A4B71" w:rsidRDefault="007A4B71">
            <w:pPr>
              <w:spacing w:after="200"/>
              <w:rPr>
                <w:b/>
              </w:rPr>
            </w:pPr>
          </w:p>
        </w:tc>
      </w:tr>
    </w:tbl>
    <w:p w:rsidR="007A4B71" w:rsidRDefault="007A4B71" w:rsidP="007A4B71">
      <w:pPr>
        <w:tabs>
          <w:tab w:val="right" w:pos="9360"/>
        </w:tabs>
        <w:rPr>
          <w:b/>
        </w:rPr>
      </w:pPr>
    </w:p>
    <w:p w:rsidR="007A4B71" w:rsidRDefault="007A4B71" w:rsidP="007A4B71">
      <w:pPr>
        <w:tabs>
          <w:tab w:val="right" w:pos="9360"/>
        </w:tabs>
        <w:jc w:val="center"/>
        <w:rPr>
          <w:b/>
        </w:rPr>
      </w:pPr>
      <w:r>
        <w:rPr>
          <w:b/>
        </w:rPr>
        <w:t>Farmers National Company</w:t>
      </w:r>
    </w:p>
    <w:p w:rsidR="007A4B71" w:rsidRDefault="007A4B71" w:rsidP="007A4B71">
      <w:pPr>
        <w:tabs>
          <w:tab w:val="right" w:pos="9360"/>
        </w:tabs>
        <w:jc w:val="center"/>
        <w:rPr>
          <w:b/>
        </w:rPr>
      </w:pPr>
      <w:r>
        <w:rPr>
          <w:b/>
        </w:rPr>
        <w:t>Mike Wentzel, Broker</w:t>
      </w:r>
    </w:p>
    <w:p w:rsidR="007A4B71" w:rsidRDefault="007A4B71" w:rsidP="007A4B71">
      <w:pPr>
        <w:tabs>
          <w:tab w:val="right" w:pos="9360"/>
        </w:tabs>
        <w:jc w:val="center"/>
        <w:rPr>
          <w:b/>
        </w:rPr>
      </w:pPr>
      <w:r>
        <w:rPr>
          <w:b/>
        </w:rPr>
        <w:t xml:space="preserve">Jack Nolan, Sales Associate </w:t>
      </w:r>
    </w:p>
    <w:p w:rsidR="007A4B71" w:rsidRDefault="007A4B71" w:rsidP="007A4B71">
      <w:pPr>
        <w:tabs>
          <w:tab w:val="right" w:pos="9360"/>
        </w:tabs>
        <w:jc w:val="center"/>
        <w:rPr>
          <w:b/>
        </w:rPr>
      </w:pPr>
      <w:r>
        <w:rPr>
          <w:b/>
        </w:rPr>
        <w:t>1102 Broadway</w:t>
      </w:r>
    </w:p>
    <w:p w:rsidR="007A4B71" w:rsidRDefault="007A4B71" w:rsidP="007A4B71">
      <w:pPr>
        <w:tabs>
          <w:tab w:val="right" w:pos="9360"/>
        </w:tabs>
        <w:jc w:val="center"/>
        <w:rPr>
          <w:b/>
        </w:rPr>
      </w:pPr>
      <w:proofErr w:type="spellStart"/>
      <w:r>
        <w:rPr>
          <w:b/>
        </w:rPr>
        <w:t>Kermore</w:t>
      </w:r>
      <w:proofErr w:type="spellEnd"/>
      <w:r>
        <w:rPr>
          <w:b/>
        </w:rPr>
        <w:t xml:space="preserve"> Building</w:t>
      </w:r>
    </w:p>
    <w:p w:rsidR="007A4B71" w:rsidRDefault="007A4B71" w:rsidP="007A4B71">
      <w:pPr>
        <w:tabs>
          <w:tab w:val="right" w:pos="9360"/>
        </w:tabs>
        <w:jc w:val="center"/>
        <w:rPr>
          <w:b/>
        </w:rPr>
      </w:pPr>
      <w:r>
        <w:rPr>
          <w:b/>
        </w:rPr>
        <w:t>Emmetsburg, Iowa 50536</w:t>
      </w:r>
    </w:p>
    <w:p w:rsidR="003A3F5B" w:rsidRDefault="003A3F5B" w:rsidP="007A4B71">
      <w:pPr>
        <w:tabs>
          <w:tab w:val="right" w:pos="9360"/>
        </w:tabs>
        <w:jc w:val="center"/>
        <w:rPr>
          <w:b/>
        </w:rPr>
      </w:pPr>
    </w:p>
    <w:p w:rsidR="003A3F5B" w:rsidRPr="00FE4798" w:rsidRDefault="003A3F5B" w:rsidP="00FE4798">
      <w:pPr>
        <w:pStyle w:val="Footer"/>
        <w:jc w:val="center"/>
        <w:rPr>
          <w:i/>
          <w:sz w:val="22"/>
          <w:szCs w:val="22"/>
        </w:rPr>
      </w:pPr>
      <w:r w:rsidRPr="001252DC">
        <w:rPr>
          <w:i/>
          <w:sz w:val="22"/>
          <w:szCs w:val="22"/>
        </w:rPr>
        <w:t>All information is believed to be accurate, but is not guaranteed by the listed agent or broker.</w:t>
      </w:r>
    </w:p>
    <w:sectPr w:rsidR="003A3F5B" w:rsidRPr="00FE4798" w:rsidSect="007A4B7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4B71"/>
    <w:rsid w:val="000519D5"/>
    <w:rsid w:val="002400CB"/>
    <w:rsid w:val="002527A0"/>
    <w:rsid w:val="002C1375"/>
    <w:rsid w:val="003A3F5B"/>
    <w:rsid w:val="003F7146"/>
    <w:rsid w:val="00417D60"/>
    <w:rsid w:val="005C62AF"/>
    <w:rsid w:val="006A1AD4"/>
    <w:rsid w:val="00704E76"/>
    <w:rsid w:val="007A4B71"/>
    <w:rsid w:val="0080037D"/>
    <w:rsid w:val="00843A8A"/>
    <w:rsid w:val="009B7D48"/>
    <w:rsid w:val="00A06B09"/>
    <w:rsid w:val="00B2425F"/>
    <w:rsid w:val="00D10686"/>
    <w:rsid w:val="00D13771"/>
    <w:rsid w:val="00D6697D"/>
    <w:rsid w:val="00DB4AFE"/>
    <w:rsid w:val="00FE2F8E"/>
    <w:rsid w:val="00FE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B71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B71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3A3F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A3F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F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FarmersNational</dc:creator>
  <cp:lastModifiedBy>Jack</cp:lastModifiedBy>
  <cp:revision>3</cp:revision>
  <cp:lastPrinted>2010-09-01T18:54:00Z</cp:lastPrinted>
  <dcterms:created xsi:type="dcterms:W3CDTF">2011-09-06T15:15:00Z</dcterms:created>
  <dcterms:modified xsi:type="dcterms:W3CDTF">2011-09-08T21:41:00Z</dcterms:modified>
</cp:coreProperties>
</file>